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0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36"/>
          <w:szCs w:val="36"/>
          <w:rtl w:val="0"/>
        </w:rPr>
        <w:t xml:space="preserve">2025年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3864"/>
          <w:sz w:val="56"/>
          <w:szCs w:val="56"/>
          <w:rtl w:val="0"/>
        </w:rPr>
        <w:t xml:space="preserve">日本AI関連M&amp;A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0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3864"/>
          <w:sz w:val="48"/>
          <w:szCs w:val="48"/>
          <w:rtl w:val="0"/>
        </w:rPr>
        <w:t xml:space="preserve">全案件リスト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2e75b6" w:space="1" w:sz="6" w:val="single"/>
        </w:pBdr>
        <w:spacing w:after="200" w:before="200" w:lineRule="auto"/>
        <w:jc w:val="center"/>
        <w:rPr/>
      </w:pPr>
      <w:r w:rsidDel="00000000" w:rsidR="00000000" w:rsidRPr="00000000">
        <w:rPr>
          <w:rFonts w:ascii="Arial" w:cs="Arial" w:eastAsia="Arial" w:hAnsi="Arial"/>
          <w:sz w:val="10"/>
          <w:szCs w:val="1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444444"/>
          <w:sz w:val="28"/>
          <w:szCs w:val="28"/>
          <w:rtl w:val="0"/>
        </w:rPr>
        <w:t xml:space="preserve">経営会議報告資料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4"/>
          <w:szCs w:val="24"/>
          <w:rtl w:val="0"/>
        </w:rPr>
        <w:t xml:space="preserve">調査期間：2025年1月〜12月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4"/>
          <w:szCs w:val="24"/>
          <w:rtl w:val="0"/>
        </w:rPr>
        <w:t xml:space="preserve">作成日：2026年4月14日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8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  <w:sectPr>
          <w:pgSz w:h="16838" w:w="11906" w:orient="portrait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rtl w:val="0"/>
        </w:rPr>
        <w:t xml:space="preserve">CONFIDENTIAL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3864"/>
          <w:sz w:val="32"/>
          <w:szCs w:val="32"/>
          <w:rtl w:val="0"/>
        </w:rPr>
        <w:t xml:space="preserve">目次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2"/>
          <w:szCs w:val="22"/>
          <w:rtl w:val="0"/>
        </w:rPr>
        <w:t xml:space="preserve">エグゼクティブサマリー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2"/>
          <w:szCs w:val="22"/>
          <w:rtl w:val="0"/>
        </w:rPr>
        <w:t xml:space="preserve">1. 大型AI関連買収（取引金額100億円超）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2"/>
          <w:szCs w:val="22"/>
          <w:rtl w:val="0"/>
        </w:rPr>
        <w:t xml:space="preserve">2. 国内AI企業を対象としたM&amp;A（中規模：10億円〜100億円）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2"/>
          <w:szCs w:val="22"/>
          <w:rtl w:val="0"/>
        </w:rPr>
        <w:t xml:space="preserve">3. AIスタートアップ・小規模案件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2"/>
          <w:szCs w:val="22"/>
          <w:rtl w:val="0"/>
        </w:rPr>
        <w:t xml:space="preserve">4. NTTデータグループの海外AI関連買収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2"/>
          <w:szCs w:val="22"/>
          <w:rtl w:val="0"/>
        </w:rPr>
        <w:t xml:space="preserve">5. 主要なJV設立・資本業務提携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2"/>
          <w:szCs w:val="22"/>
          <w:rtl w:val="0"/>
        </w:rPr>
        <w:t xml:space="preserve">6. 2025年AI関連M&amp;Aの5つの構造的特徴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80" w:lineRule="auto"/>
        <w:ind w:left="48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555555"/>
          <w:sz w:val="20"/>
          <w:szCs w:val="20"/>
          <w:rtl w:val="0"/>
        </w:rPr>
        <w:t xml:space="preserve">    6-1. ソフトバンクグループの圧倒的な存在感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80" w:lineRule="auto"/>
        <w:ind w:left="48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555555"/>
          <w:sz w:val="20"/>
          <w:szCs w:val="20"/>
          <w:rtl w:val="0"/>
        </w:rPr>
        <w:t xml:space="preserve">    6-2. 異業種によるAI企業買収の急増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80" w:lineRule="auto"/>
        <w:ind w:left="48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555555"/>
          <w:sz w:val="20"/>
          <w:szCs w:val="20"/>
          <w:rtl w:val="0"/>
        </w:rPr>
        <w:t xml:space="preserve">    6-3. AI人材獲得型M&amp;Aの定着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80" w:lineRule="auto"/>
        <w:ind w:left="48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555555"/>
          <w:sz w:val="20"/>
          <w:szCs w:val="20"/>
          <w:rtl w:val="0"/>
        </w:rPr>
        <w:t xml:space="preserve">    6-4. IT業界の大型グループ再編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80" w:lineRule="auto"/>
        <w:ind w:left="48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555555"/>
          <w:sz w:val="20"/>
          <w:szCs w:val="20"/>
          <w:rtl w:val="0"/>
        </w:rPr>
        <w:t xml:space="preserve">    6-5. 「AIエージェント」「フィジカルAI」の台頭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2"/>
          <w:szCs w:val="22"/>
          <w:rtl w:val="0"/>
        </w:rPr>
        <w:t xml:space="preserve">7. 2026年以降の展望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エグゼクティブサマリー</w:t>
      </w:r>
    </w:p>
    <w:p w:rsidR="00000000" w:rsidDel="00000000" w:rsidP="00000000" w:rsidRDefault="00000000" w:rsidRPr="00000000" w14:paraId="0000001B">
      <w:pPr>
        <w:spacing w:after="1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2025年は日本のAI関連M&amp;Aが過去最高を更新した歴史的な年となった。M&amp;A Online（ストライク社）の集計によれば、2025年1〜8月だけでAI関連M&amp;Aは13件に達し、前年同期（9件）を大幅に上回るペースで進行した。通年では2024年の18件を超え過去最高を更新する見込みである。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ソフトバンクグループが合計約3兆円超の大型クロスボーダー買収を断行した一方、製造業・アパレル・金融など異業種によるAIスタートアップ買収も急増した。日本企業のM&amp;A全体でも2025年上半期は2,509件（前年同期比7.1%増、過去最高）を記録し、AI・DXが件数・金額の両面で最大のドライバーとなってい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本調査で確認された案件はM&amp;A・事業譲受で約37件、JV・資本提携を含めると44件以上に上り、取引金額の合計は数兆円規模に達する。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大型AI関連買収（取引金額100億円超）</w:t>
      </w:r>
    </w:p>
    <w:p w:rsidR="00000000" w:rsidDel="00000000" w:rsidP="00000000" w:rsidRDefault="00000000" w:rsidRPr="00000000" w14:paraId="00000020">
      <w:pPr>
        <w:spacing w:after="1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2025年のAI関連M&amp;Aで最も存在感を示したのはソフトバンクグループ（SBG）である。孫正義会長が掲げる「ASI（人工超知能）」構想の実現に向け、半導体・ロボティクス・デジタルインフラの3分野で計約3兆円超の買収を実行した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なお、SBGは上記M&amp;Aに加え、OpenAIに対して総額約400億ドル（約6兆円）を出資し、約11%の持分を取得した（2025年3月開始、12月完了）。これは株式投資であり買収ではないが、2025年最大級のAI関連資本取引として特筆され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"/>
        <w:gridCol w:w="1600"/>
        <w:gridCol w:w="1700"/>
        <w:gridCol w:w="3126"/>
        <w:gridCol w:w="1200"/>
        <w:gridCol w:w="1000"/>
        <w:tblGridChange w:id="0">
          <w:tblGrid>
            <w:gridCol w:w="400"/>
            <w:gridCol w:w="1600"/>
            <w:gridCol w:w="1700"/>
            <w:gridCol w:w="3126"/>
            <w:gridCol w:w="1200"/>
            <w:gridCol w:w="1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買い手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売り手／対象企業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対象ビジネスの概要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取引金額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取引時期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ソフトバンクグループ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Ampere Computing（米国）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Armベースサーバー向け高性能・省電力AI半導体の設計開発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約65億ドル（約9,730億円）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2025年3月発表、11月完了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ソフトバンクグループ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ABB ロボティクス事業（スイス）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世界4大産業用ロボットメーカーの一角。「フィジカルAI」戦略の中核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約53.75億ドル（約8,187億円）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2025年10月締結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ソフトバンクグループ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DigitalBridge Group（米国）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データセンター・通信タワー等デジタルインフラ投資・運用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約40億ドル（約6,000億円）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2025年12月締結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NTT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NTTデータグループ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国内最大級ITサービス企業の親子上場解消。AI基盤投資の迅速化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約2兆3,700億円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2025年5月発表、9月完了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住友商事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SCSK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大手SIer。AI・クラウド・DXの住友商事グループ戦略中核として完全子会社化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約8,820億円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2025年10月発表、12月成立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KKR（米国）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富士ソフト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クラウド・AI駆動の自動化・組込みソフト開発の大手SIer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約6,600億円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2025年2月TOB完了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大和ハウス工業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住友電設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電気工事・データセンター建設の専業大手。AI用DC需要取込み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約2,920億円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2025年10〜12月TOB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NEC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NECネッツエスアイ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ネットワーク構築・DX支援。グループ一体でのAI・DX事業再編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約2,391億円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2025年1月TOB成立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三菱電機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Nozomi Networks（米国）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OT/IoT向けAI活用サイバーセキュリティソフトウェア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約8.83億ドル（約1,300億円）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2025年9月発表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富士通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ブレインパッド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データサイエンス・AI活用大手。富士通Data&amp;AI事業中核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約565億円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2025年10月発表、12月成立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住友ゴム工業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Viaduct（米国）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AIによる車両データ解析・故障予知ソリューション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約1.04億ドル（約153億円）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2025年8月締結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国内AI企業を対象としたM&amp;A（中規模：10億円〜100億円）</w:t>
      </w:r>
    </w:p>
    <w:p w:rsidR="00000000" w:rsidDel="00000000" w:rsidP="00000000" w:rsidRDefault="00000000" w:rsidRPr="00000000" w14:paraId="0000006D">
      <w:pPr>
        <w:spacing w:after="1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大型案件の影で、AI人材育成・AIレコメンド・AI画像生成など多様なAIスタートアップの買収が活発に進行した。アクセンチュアやPKSHA Technologyなど、AI人材・技術の獲得を目的としたTOBが目立つ。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"/>
        <w:gridCol w:w="1600"/>
        <w:gridCol w:w="1700"/>
        <w:gridCol w:w="3126"/>
        <w:gridCol w:w="1200"/>
        <w:gridCol w:w="1000"/>
        <w:tblGridChange w:id="0">
          <w:tblGrid>
            <w:gridCol w:w="400"/>
            <w:gridCol w:w="1600"/>
            <w:gridCol w:w="1700"/>
            <w:gridCol w:w="3126"/>
            <w:gridCol w:w="1200"/>
            <w:gridCol w:w="1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買い手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売り手／対象企業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対象ビジネスの概要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取引金額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取引時期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アクセンチュア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アイデミー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AI/DX人材育成eラーニング・リスキリング支援プラットフォーム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約64億円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2025年8〜9月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サクサ（6675）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ニューテック（6734）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ストレージ製品の開発・製造・販売。映像・AI・ストレージ統合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約51.6億円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2025年12月発表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アクセンチュア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ゆめみ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DX・デジタルサービス開発。約400名のUI/UXエンジニア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非公開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2025年5月完了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イルグルム（3690）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シルバーエッグ・テクノロジー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AIレコメンドサービス。ECサイト向けAIパーソナライズ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約20.3億円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2025年11月発表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FRONTEO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アルネッツ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製造業向けDX・Mendix導入支援。AI「匠KIBIT零」との連携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約15.6億円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2025年4月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PKSHA Technology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サーキュレーション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プロ人材マッチングサービス。AI×プロ人材の組合せ支援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非公開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2025年7〜8月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AIスタートアップ・小規模案件</w:t>
      </w:r>
    </w:p>
    <w:p w:rsidR="00000000" w:rsidDel="00000000" w:rsidP="00000000" w:rsidRDefault="00000000" w:rsidRPr="00000000" w14:paraId="0000009B">
      <w:pPr>
        <w:spacing w:after="1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中小規模案件では、生成AI・AIデザイン・AI研修など多様なニッチ分野で異業種からの参入が顕著だった。取引金額は数千万円〜数億円規模が中心で、技術と人材の一体獲得を主目的とする案件が多い。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"/>
        <w:gridCol w:w="1600"/>
        <w:gridCol w:w="1700"/>
        <w:gridCol w:w="3126"/>
        <w:gridCol w:w="1200"/>
        <w:gridCol w:w="1000"/>
        <w:tblGridChange w:id="0">
          <w:tblGrid>
            <w:gridCol w:w="400"/>
            <w:gridCol w:w="1600"/>
            <w:gridCol w:w="1700"/>
            <w:gridCol w:w="3126"/>
            <w:gridCol w:w="1200"/>
            <w:gridCol w:w="1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買い手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売り手／対象企業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対象ビジネスの概要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取引金額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取引時期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AIフュージョンキャピタルG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LMG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SNSマーケティング支援。DX・AI技術との融合（20%取得）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約4.1億円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2025年3月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Arent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PlantStream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3Dプラント設計CAD「PlantStream」開発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約2.3億円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2025年3月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フライヤー（323A）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AIStep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未経験者向けAIワーカー養成講座の開発・提供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約2億円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2025年9月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リーダー電子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AI Picasso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AI画像生成技術。VMA事業の成長加速が目的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約2億円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2025年7月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Laboro.AI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CAGLA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グラフDB技術。LLM×グラフ構造の産業向け生成AI拡充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約1.9億円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2025年4月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ワールド（アパレル）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OpenFashion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ファッション特化生成AIサービス「Maison AI」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非公開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2025年2月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PKSHA Technology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エクストーン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UI/UXデザイン・開発専門企業。AI SaaSのUI/UX強化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非公開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2025年1月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グッドパッチ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Layermate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生成AIでUIデザインを自動生成するAIデザインツール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非公開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2025年10月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東芝テック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ハルモニア（事業譲受）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AIダイナミックプライシング（価格最適化）ソリューション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非公開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2025年10月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enableX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アスピレテックコンサルティング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機械学習・NLP・CV等のAI DXコンサルティング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非公開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2025年6月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サイバーリンクス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イクシーズラボ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AI会話プラットフォーム「CAIWA」ベースのチャットボット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約500万円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2025年11月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New Innovations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ファースト・オートメーション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製造業特化型生成AIソリューション「SPESILL」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非公開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2025年12月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グロービング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X-AI.Labo（吸収合併）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AIエンジニアリング。経営変革支援力との一体化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組織再編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2025年9〜10月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Finatextホールディングス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ビヘイビア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保険相談AIチャット「ほけんのAI」、AIエージェント「ライフラ」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非公開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2025年9月頃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安川電機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東京ロボティクス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ヒューマノイドロボット技術スタートアップ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非公開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2025年7月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Macbee Planet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プレティア・テクノロジーズ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AR制作・配信プラットフォーム「Pretia AR」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非公開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2025年11月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Arent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アサクラソフト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建設業向けソフトウェア開発。AI活用の建設DX加速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非公開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Style w:val="Heading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 NTTデータグループの海外AI関連買収</w:t>
      </w:r>
    </w:p>
    <w:p w:rsidR="00000000" w:rsidDel="00000000" w:rsidP="00000000" w:rsidRDefault="00000000" w:rsidRPr="00000000" w14:paraId="0000010B">
      <w:pPr>
        <w:spacing w:after="1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NTTによる完全子会社化（2025年5月〜9月）を経て、NTTデータグループはAI・クラウド関連のクロスボーダー買収を積極的に展開した。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"/>
        <w:gridCol w:w="1600"/>
        <w:gridCol w:w="1700"/>
        <w:gridCol w:w="3126"/>
        <w:gridCol w:w="1200"/>
        <w:gridCol w:w="1000"/>
        <w:tblGridChange w:id="0">
          <w:tblGrid>
            <w:gridCol w:w="400"/>
            <w:gridCol w:w="1600"/>
            <w:gridCol w:w="1700"/>
            <w:gridCol w:w="3126"/>
            <w:gridCol w:w="1200"/>
            <w:gridCol w:w="1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買い手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売り手／対象企業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対象ビジネスの概要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取引金額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取引時期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NTTデータ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The Cloud People Group（ノルウェー）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欧州最大級ServiceNowパートナー。AI駆動のIT運用支援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非公開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2025年12月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NTTデータ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Alchemy Technology Services（英国）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保険業界特化テクノロジーコンサルティング。AI・自動化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非公開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2025年10月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NTTデータ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Niveus Solutions（インド）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Google Cloudスペシャリスト。AI駆動エンタープライズクラウド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非公開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Style w:val="Heading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5. 主要なJV設立・資本業務提携</w:t>
      </w:r>
    </w:p>
    <w:p w:rsidR="00000000" w:rsidDel="00000000" w:rsidP="00000000" w:rsidRDefault="00000000" w:rsidRPr="00000000" w14:paraId="00000127">
      <w:pPr>
        <w:spacing w:after="1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M&amp;A以外にも、AI分野では合弁会社設立や資本業務提携が活発だった。「AIエージェント元年」と呼ばれた2025年にふさわしく、AIエージェント関連の提携が目立つ。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"/>
        <w:gridCol w:w="2200"/>
        <w:gridCol w:w="4226"/>
        <w:gridCol w:w="1200"/>
        <w:gridCol w:w="1000"/>
        <w:tblGridChange w:id="0">
          <w:tblGrid>
            <w:gridCol w:w="400"/>
            <w:gridCol w:w="2200"/>
            <w:gridCol w:w="4226"/>
            <w:gridCol w:w="1200"/>
            <w:gridCol w:w="1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当事者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概要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取引金額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取引時期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ソフトバンク × OpenAI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合弁会社SB OpenAI Japan設立。法人向けAIソリューション日本独占販売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非公開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2025年2月設立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三菱商事 × PFN × IIJ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セキュアAIインフラの商用化を目指す合弁会社設立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非公開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2025年1月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KDDI × NEC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サイバーセキュリティ合弁United Cyber Force設立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非公開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2025年11月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FCE × JAPAN 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資本業務提携。AIエージェント「JAPAN AI AGENT」のOEM導入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約1億円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2025年7月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ソウルドアウト × できるくん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資本業務提携。AI活用ウェブ制作・AIエージェント開発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約1億円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2025年12月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三菱HCキャピタル × Turing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資本業務提携。AI完全自動運転技術の開発支援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非公開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6fa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東邦システムサイエンス × ランドコンピュータ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経営統合（共同株式移転で持株会社「トランヴィア」設立）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株式移転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bCs w:val="0"/>
                <w:sz w:val="18"/>
                <w:szCs w:val="18"/>
                <w:rtl w:val="0"/>
              </w:rPr>
              <w:t xml:space="preserve">2025年11月発表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Style w:val="Heading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6. 2025年AI関連M&amp;Aの5つの構造的特徴</w:t>
      </w:r>
    </w:p>
    <w:p w:rsidR="00000000" w:rsidDel="00000000" w:rsidP="00000000" w:rsidRDefault="00000000" w:rsidRPr="00000000" w14:paraId="00000153">
      <w:pPr>
        <w:pStyle w:val="Heading2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6-1. ソフトバンクグループの圧倒的な存在感</w:t>
      </w:r>
    </w:p>
    <w:p w:rsidR="00000000" w:rsidDel="00000000" w:rsidP="00000000" w:rsidRDefault="00000000" w:rsidRPr="00000000" w14:paraId="00000154">
      <w:pPr>
        <w:spacing w:after="1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Ampere Computing（AI半導体）、ABB Robotics（産業用ロボット）、DigitalBridge（デジタルインフラ）の3買収で合計約2.4兆円超を投じた。Arm Holdings・Graphcoreと組み合わせた「Silicon Trinity」によるAI垂直統合戦略は、日本企業によるグローバルAI投資の新たな段階を示している。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Style w:val="Heading2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6-2. 異業種によるAI企業買収の急増</w:t>
      </w:r>
    </w:p>
    <w:p w:rsidR="00000000" w:rsidDel="00000000" w:rsidP="00000000" w:rsidRDefault="00000000" w:rsidRPr="00000000" w14:paraId="00000156">
      <w:pPr>
        <w:spacing w:after="1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千葉銀行（地方銀行）によるエッジテクノロジー買収、ワールド（アパレル）によるOpenFashion買収、住友ゴム工業（タイヤ）によるViaduct買収など、非IT業種がAI技術を内製化する動きが鮮明になった。改正銀行法による業務範囲規制緩和も追い風となってい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Style w:val="Heading2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6-3. AI人材獲得型M&amp;Aの定着</w:t>
      </w:r>
    </w:p>
    <w:p w:rsidR="00000000" w:rsidDel="00000000" w:rsidP="00000000" w:rsidRDefault="00000000" w:rsidRPr="00000000" w14:paraId="00000158">
      <w:pPr>
        <w:spacing w:after="1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富士通→ブレインパッド（約565億円、プレミアム100%）、アクセンチュア→アイデミー（約64億円）、アクセンチュア→ゆめみなど、データサイエンティストやAIエンジニアの慢性的不足を背景に、高いプレミアムを支払ってでも人材を一括獲得するM&amp;Aが常態化した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Style w:val="Heading2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6-4. IT業界の大型グループ再編</w:t>
      </w:r>
    </w:p>
    <w:p w:rsidR="00000000" w:rsidDel="00000000" w:rsidP="00000000" w:rsidRDefault="00000000" w:rsidRPr="00000000" w14:paraId="0000015A">
      <w:pPr>
        <w:spacing w:after="1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NTT→NTTデータ（約2.37兆円）、住友商事→SCSK（約8,820億円）、NEC→NECネッツエスアイ（約2,391億円）など、親子上場解消を通じてAI投資の意思決定を迅速化するディールが相次いだ。東証のガバナンス改革も後押ししてい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Style w:val="Heading2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6-5. 「AIエージェント」「フィジカルAI」の台頭</w:t>
      </w:r>
    </w:p>
    <w:p w:rsidR="00000000" w:rsidDel="00000000" w:rsidP="00000000" w:rsidRDefault="00000000" w:rsidRPr="00000000" w14:paraId="0000015C">
      <w:pPr>
        <w:spacing w:after="1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PKSHA→サーキュレーション（AI人材マッチング）、Finatext→ビヘイビア（保険AIエージェント）、SBG→ABB Robotics（産業用ロボット）、安川電機→東京ロボティクス（ヒューマノイド）など、ソフトウェアAIが物理世界へ拡張する領域でのM&amp;Aが加速している。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Style w:val="Heading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7. 2026年以降の展望</w:t>
      </w:r>
    </w:p>
    <w:p w:rsidR="00000000" w:rsidDel="00000000" w:rsidP="00000000" w:rsidRDefault="00000000" w:rsidRPr="00000000" w14:paraId="0000015F">
      <w:pPr>
        <w:spacing w:after="1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2025年は日本のAI関連M&amp;Aが質・量ともに転換点を迎えた年として記録される。とりわけ注目すべきは、AI M&amp;Aの裾野が大手IT企業にとどまらず、地方銀行・アパレル・タイヤメーカー・建設業といった多様な業種に広がった点である。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1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2026年以降は、AI新法の施行に伴う規制対応、AIエージェントの実用化加速、そしてフィジカルAI（ロボティクス・自動運転）領域のさらなる再編が、次のM&amp;A波動を形成すると見られる。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before="6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2"/>
          <w:szCs w:val="22"/>
          <w:rtl w:val="0"/>
        </w:rPr>
        <w:t xml:space="preserve">以上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before="6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Bdr>
          <w:top w:color="cccccc" w:space="1" w:sz="4" w:val="single"/>
        </w:pBdr>
        <w:spacing w:after="100" w:before="2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999999"/>
          <w:sz w:val="18"/>
          <w:szCs w:val="18"/>
          <w:rtl w:val="0"/>
        </w:rPr>
        <w:t xml:space="preserve">免責事項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color w:val="999999"/>
          <w:sz w:val="16"/>
          <w:szCs w:val="16"/>
          <w:rtl w:val="0"/>
        </w:rPr>
        <w:t xml:space="preserve">本レポートは公開情報（ニュース記事、プレスリリース、M&amp;Aデータベース、企業IR情報等）に基づき作成したものであり、網羅性・正確性を完全に保証するものではありません。取引金額は報道・開示ベースの概算値であり、実際の取引条件と異なる場合があります。投資判断等にあたっては、必ず一次情報をご確認ください。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type w:val="nextPage"/>
      <w:pgSz w:h="16838" w:w="11906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7">
    <w:pPr>
      <w:jc w:val="center"/>
      <w:rPr/>
    </w:pPr>
    <w:r w:rsidDel="00000000" w:rsidR="00000000" w:rsidRPr="00000000">
      <w:rPr>
        <w:rFonts w:ascii="Arial" w:cs="Arial" w:eastAsia="Arial" w:hAnsi="Arial"/>
        <w:color w:val="999999"/>
        <w:sz w:val="16"/>
        <w:szCs w:val="16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6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color w:val="999999"/>
        <w:sz w:val="16"/>
        <w:szCs w:val="16"/>
        <w:rtl w:val="0"/>
      </w:rPr>
      <w:t xml:space="preserve">2025年 日本AI関連M&amp;A 全案件リスト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3864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75b6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